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A5" w:rsidRPr="00AF50C3" w:rsidRDefault="00FA32A5" w:rsidP="008A1DE3">
      <w:pPr>
        <w:spacing w:before="100" w:beforeAutospacing="1" w:after="100" w:afterAutospacing="1" w:line="240" w:lineRule="auto"/>
        <w:jc w:val="both"/>
        <w:outlineLvl w:val="0"/>
        <w:rPr>
          <w:rFonts w:eastAsia="Times New Roman" w:cstheme="minorHAnsi"/>
          <w:b/>
          <w:bCs/>
          <w:kern w:val="36"/>
          <w:sz w:val="48"/>
          <w:szCs w:val="48"/>
          <w:lang w:eastAsia="it-IT"/>
        </w:rPr>
      </w:pPr>
      <w:bookmarkStart w:id="0" w:name="_GoBack"/>
      <w:r>
        <w:rPr>
          <w:rFonts w:eastAsia="Times New Roman" w:cstheme="minorHAnsi"/>
          <w:b/>
          <w:bCs/>
          <w:kern w:val="36"/>
          <w:sz w:val="48"/>
          <w:szCs w:val="48"/>
          <w:lang w:eastAsia="it-IT"/>
        </w:rPr>
        <w:t>Nuovi termini di validità delle Carte di Identità Cartacee</w:t>
      </w:r>
      <w:r w:rsidR="008A1DE3">
        <w:rPr>
          <w:rFonts w:eastAsia="Times New Roman" w:cstheme="minorHAnsi"/>
          <w:b/>
          <w:bCs/>
          <w:kern w:val="36"/>
          <w:sz w:val="48"/>
          <w:szCs w:val="48"/>
          <w:lang w:eastAsia="it-IT"/>
        </w:rPr>
        <w:t xml:space="preserve"> - </w:t>
      </w:r>
      <w:r w:rsidR="008A1DE3" w:rsidRPr="008A1DE3">
        <w:rPr>
          <w:rFonts w:eastAsia="Times New Roman" w:cstheme="minorHAnsi"/>
          <w:b/>
          <w:bCs/>
          <w:kern w:val="36"/>
          <w:sz w:val="48"/>
          <w:szCs w:val="48"/>
          <w:lang w:eastAsia="it-IT"/>
        </w:rPr>
        <w:t>Decreto Legge 26 giugno 2026, n. 108 (articolo 11)</w:t>
      </w:r>
    </w:p>
    <w:p w:rsidR="00FA32A5" w:rsidRDefault="00FA32A5" w:rsidP="00FA32A5">
      <w:pPr>
        <w:pStyle w:val="NormaleWeb"/>
        <w:jc w:val="both"/>
        <w:rPr>
          <w:rFonts w:asciiTheme="minorHAnsi" w:hAnsiTheme="minorHAnsi" w:cstheme="minorHAnsi"/>
        </w:rPr>
      </w:pPr>
      <w:r>
        <w:rPr>
          <w:rFonts w:asciiTheme="minorHAnsi" w:hAnsiTheme="minorHAnsi" w:cstheme="minorHAnsi"/>
        </w:rPr>
        <w:t>Con</w:t>
      </w:r>
      <w:r w:rsidRPr="00FA32A5">
        <w:rPr>
          <w:rFonts w:asciiTheme="minorHAnsi" w:hAnsiTheme="minorHAnsi" w:cstheme="minorHAnsi"/>
        </w:rPr>
        <w:t xml:space="preserve"> il Decreto Legge 26 giugno 2026, n. 108 (articolo 11) </w:t>
      </w:r>
      <w:r>
        <w:rPr>
          <w:rFonts w:asciiTheme="minorHAnsi" w:hAnsiTheme="minorHAnsi" w:cstheme="minorHAnsi"/>
        </w:rPr>
        <w:t>sono stati ridefiniti</w:t>
      </w:r>
      <w:r w:rsidRPr="00FA32A5">
        <w:rPr>
          <w:rFonts w:asciiTheme="minorHAnsi" w:hAnsiTheme="minorHAnsi" w:cstheme="minorHAnsi"/>
        </w:rPr>
        <w:t xml:space="preserve"> i termini di validità delle carte d'identità cartacee, inizialmente destinate alla totale cessazione entro il 3 agosto 2026. </w:t>
      </w:r>
    </w:p>
    <w:p w:rsidR="00FA32A5" w:rsidRPr="00FA32A5" w:rsidRDefault="00FA32A5" w:rsidP="00FA32A5">
      <w:pPr>
        <w:pStyle w:val="NormaleWeb"/>
        <w:jc w:val="both"/>
        <w:rPr>
          <w:rFonts w:asciiTheme="minorHAnsi" w:hAnsiTheme="minorHAnsi" w:cstheme="minorHAnsi"/>
        </w:rPr>
      </w:pPr>
      <w:r>
        <w:rPr>
          <w:rFonts w:asciiTheme="minorHAnsi" w:hAnsiTheme="minorHAnsi" w:cstheme="minorHAnsi"/>
        </w:rPr>
        <w:t xml:space="preserve">Pertanto, </w:t>
      </w:r>
      <w:r w:rsidRPr="00FA32A5">
        <w:rPr>
          <w:rFonts w:asciiTheme="minorHAnsi" w:hAnsiTheme="minorHAnsi" w:cstheme="minorHAnsi"/>
        </w:rPr>
        <w:t>se la carta d'identità cartacea non è ancora scaduta resta valida, solo sul territorio nazionale, nei limiti delle disposizioni di seguito descritte</w:t>
      </w:r>
      <w:r>
        <w:rPr>
          <w:rFonts w:asciiTheme="minorHAnsi" w:hAnsiTheme="minorHAnsi" w:cstheme="minorHAnsi"/>
        </w:rPr>
        <w:t>:</w:t>
      </w:r>
    </w:p>
    <w:p w:rsidR="00FA32A5" w:rsidRPr="00FA32A5" w:rsidRDefault="00AF50C3" w:rsidP="00AF50C3">
      <w:pPr>
        <w:pStyle w:val="NormaleWeb"/>
        <w:numPr>
          <w:ilvl w:val="0"/>
          <w:numId w:val="3"/>
        </w:numPr>
        <w:rPr>
          <w:rFonts w:asciiTheme="minorHAnsi" w:hAnsiTheme="minorHAnsi" w:cstheme="minorHAnsi"/>
        </w:rPr>
      </w:pPr>
      <w:r>
        <w:rPr>
          <w:rStyle w:val="Enfasigrassetto"/>
          <w:rFonts w:asciiTheme="minorHAnsi" w:hAnsiTheme="minorHAnsi" w:cstheme="minorHAnsi"/>
        </w:rPr>
        <w:t>R</w:t>
      </w:r>
      <w:r w:rsidR="00FA32A5" w:rsidRPr="00FA32A5">
        <w:rPr>
          <w:rStyle w:val="Enfasigrassetto"/>
          <w:rFonts w:asciiTheme="minorHAnsi" w:hAnsiTheme="minorHAnsi" w:cstheme="minorHAnsi"/>
        </w:rPr>
        <w:t>apporti contrattuali in essere </w:t>
      </w:r>
    </w:p>
    <w:p w:rsidR="00FA32A5" w:rsidRPr="00FA32A5" w:rsidRDefault="00FA32A5" w:rsidP="00FA32A5">
      <w:pPr>
        <w:pStyle w:val="NormaleWeb"/>
        <w:jc w:val="both"/>
        <w:rPr>
          <w:rFonts w:asciiTheme="minorHAnsi" w:hAnsiTheme="minorHAnsi" w:cstheme="minorHAnsi"/>
        </w:rPr>
      </w:pPr>
      <w:r w:rsidRPr="00FA32A5">
        <w:rPr>
          <w:rFonts w:asciiTheme="minorHAnsi" w:hAnsiTheme="minorHAnsi" w:cstheme="minorHAnsi"/>
        </w:rPr>
        <w:t>Per i contratti, sia pubblici che privati, stipulati entro il 3 agosto 2026 in cui le parti siano state identificate tramite carta d'identità cartacea, il documento mantiene la propria validità contrattuale fino alla scadenza naturale del contratto stesso, limitatamente agli adempimenti legati a quel preciso rapporto.</w:t>
      </w:r>
    </w:p>
    <w:p w:rsidR="00FA32A5" w:rsidRPr="00FA32A5" w:rsidRDefault="00FA32A5" w:rsidP="00AF50C3">
      <w:pPr>
        <w:pStyle w:val="NormaleWeb"/>
        <w:numPr>
          <w:ilvl w:val="0"/>
          <w:numId w:val="3"/>
        </w:numPr>
        <w:rPr>
          <w:rFonts w:asciiTheme="minorHAnsi" w:hAnsiTheme="minorHAnsi" w:cstheme="minorHAnsi"/>
        </w:rPr>
      </w:pPr>
      <w:r w:rsidRPr="00FA32A5">
        <w:rPr>
          <w:rStyle w:val="Enfasigrassetto"/>
          <w:rFonts w:asciiTheme="minorHAnsi" w:hAnsiTheme="minorHAnsi" w:cstheme="minorHAnsi"/>
        </w:rPr>
        <w:t>Utilizzo sul territorio nazionale (fino al 31 gennaio 2027)</w:t>
      </w:r>
    </w:p>
    <w:p w:rsidR="00FA32A5" w:rsidRDefault="00FA32A5" w:rsidP="00FA32A5">
      <w:pPr>
        <w:pStyle w:val="NormaleWeb"/>
        <w:jc w:val="both"/>
        <w:rPr>
          <w:rFonts w:asciiTheme="minorHAnsi" w:hAnsiTheme="minorHAnsi" w:cstheme="minorHAnsi"/>
        </w:rPr>
      </w:pPr>
      <w:r w:rsidRPr="00FA32A5">
        <w:rPr>
          <w:rFonts w:asciiTheme="minorHAnsi" w:hAnsiTheme="minorHAnsi" w:cstheme="minorHAnsi"/>
        </w:rPr>
        <w:t xml:space="preserve">Nell’attesa del rilascio della CIE (Carta d'Identità Elettronica), i documenti cartacei non scaduti possono essere utilizzati in Italia </w:t>
      </w:r>
      <w:r w:rsidRPr="00AF50C3">
        <w:rPr>
          <w:rFonts w:asciiTheme="minorHAnsi" w:hAnsiTheme="minorHAnsi" w:cstheme="minorHAnsi"/>
          <w:b/>
        </w:rPr>
        <w:t>fino al 31 gennaio 2027</w:t>
      </w:r>
      <w:r w:rsidRPr="00FA32A5">
        <w:rPr>
          <w:rFonts w:asciiTheme="minorHAnsi" w:hAnsiTheme="minorHAnsi" w:cstheme="minorHAnsi"/>
        </w:rPr>
        <w:t xml:space="preserve"> </w:t>
      </w:r>
      <w:r w:rsidRPr="00AF50C3">
        <w:rPr>
          <w:rFonts w:asciiTheme="minorHAnsi" w:hAnsiTheme="minorHAnsi" w:cstheme="minorHAnsi"/>
          <w:b/>
        </w:rPr>
        <w:t>esclusivamente per</w:t>
      </w:r>
      <w:r w:rsidRPr="00FA32A5">
        <w:rPr>
          <w:rFonts w:asciiTheme="minorHAnsi" w:hAnsiTheme="minorHAnsi" w:cstheme="minorHAnsi"/>
        </w:rPr>
        <w:t xml:space="preserve">: </w:t>
      </w:r>
    </w:p>
    <w:p w:rsidR="00FA32A5" w:rsidRDefault="00FA32A5" w:rsidP="00FA32A5">
      <w:pPr>
        <w:pStyle w:val="NormaleWeb"/>
        <w:numPr>
          <w:ilvl w:val="0"/>
          <w:numId w:val="1"/>
        </w:numPr>
        <w:jc w:val="both"/>
        <w:rPr>
          <w:rFonts w:asciiTheme="minorHAnsi" w:hAnsiTheme="minorHAnsi" w:cstheme="minorHAnsi"/>
        </w:rPr>
      </w:pPr>
      <w:r w:rsidRPr="00FA32A5">
        <w:rPr>
          <w:rFonts w:asciiTheme="minorHAnsi" w:hAnsiTheme="minorHAnsi" w:cstheme="minorHAnsi"/>
        </w:rPr>
        <w:t xml:space="preserve">l'esercizio di diritti fondamentali; </w:t>
      </w:r>
    </w:p>
    <w:p w:rsidR="00FA32A5" w:rsidRDefault="00FA32A5" w:rsidP="00FA32A5">
      <w:pPr>
        <w:pStyle w:val="NormaleWeb"/>
        <w:numPr>
          <w:ilvl w:val="0"/>
          <w:numId w:val="1"/>
        </w:numPr>
        <w:jc w:val="both"/>
        <w:rPr>
          <w:rFonts w:asciiTheme="minorHAnsi" w:hAnsiTheme="minorHAnsi" w:cstheme="minorHAnsi"/>
        </w:rPr>
      </w:pPr>
      <w:r w:rsidRPr="00FA32A5">
        <w:rPr>
          <w:rFonts w:asciiTheme="minorHAnsi" w:hAnsiTheme="minorHAnsi" w:cstheme="minorHAnsi"/>
        </w:rPr>
        <w:t xml:space="preserve">l'accesso a prestazioni sanitarie, previdenziali e assicurative; nei rapporti con la Pubblica Amministrazione e con i soggetti privati che erogano pubblici servizi (ai sensi dell'art. 35 del D.P.R. n. 445/2000); </w:t>
      </w:r>
    </w:p>
    <w:p w:rsidR="00FA32A5" w:rsidRPr="00FA32A5" w:rsidRDefault="00FA32A5" w:rsidP="00FA32A5">
      <w:pPr>
        <w:pStyle w:val="NormaleWeb"/>
        <w:numPr>
          <w:ilvl w:val="0"/>
          <w:numId w:val="1"/>
        </w:numPr>
        <w:jc w:val="both"/>
        <w:rPr>
          <w:rFonts w:asciiTheme="minorHAnsi" w:hAnsiTheme="minorHAnsi" w:cstheme="minorHAnsi"/>
        </w:rPr>
      </w:pPr>
      <w:r w:rsidRPr="00FA32A5">
        <w:rPr>
          <w:rFonts w:asciiTheme="minorHAnsi" w:hAnsiTheme="minorHAnsi" w:cstheme="minorHAnsi"/>
        </w:rPr>
        <w:t>la consegna di posta e atti giudiziari, il ritiro o il deposito di denaro presso istituti bancari e istituti che erogano servizi finanziari o postali.</w:t>
      </w:r>
    </w:p>
    <w:p w:rsidR="00FA32A5" w:rsidRPr="00AF50C3" w:rsidRDefault="00FA32A5" w:rsidP="00AF50C3">
      <w:pPr>
        <w:pStyle w:val="NormaleWeb"/>
        <w:numPr>
          <w:ilvl w:val="0"/>
          <w:numId w:val="3"/>
        </w:numPr>
        <w:rPr>
          <w:rStyle w:val="Enfasigrassetto"/>
        </w:rPr>
      </w:pPr>
      <w:r w:rsidRPr="00FA32A5">
        <w:rPr>
          <w:rStyle w:val="Enfasigrassetto"/>
          <w:rFonts w:asciiTheme="minorHAnsi" w:hAnsiTheme="minorHAnsi" w:cstheme="minorHAnsi"/>
        </w:rPr>
        <w:t>Il "Documento Provvisorio" cartaceo (rilasciabile fino al 31 dicembre 2027) </w:t>
      </w:r>
    </w:p>
    <w:p w:rsidR="00FA32A5" w:rsidRDefault="00FA32A5" w:rsidP="00FA32A5">
      <w:pPr>
        <w:pStyle w:val="NormaleWeb"/>
        <w:rPr>
          <w:rFonts w:asciiTheme="minorHAnsi" w:hAnsiTheme="minorHAnsi" w:cstheme="minorHAnsi"/>
        </w:rPr>
      </w:pPr>
      <w:r w:rsidRPr="00FA32A5">
        <w:rPr>
          <w:rFonts w:asciiTheme="minorHAnsi" w:hAnsiTheme="minorHAnsi" w:cstheme="minorHAnsi"/>
        </w:rPr>
        <w:t>In caso di urgenza motivata o impossibilità temporanea di emissione della CIE, la norma prevede la possibilità di rilasciare un documento d'identità provvisorio cartaceo</w:t>
      </w:r>
      <w:r>
        <w:rPr>
          <w:rFonts w:asciiTheme="minorHAnsi" w:hAnsiTheme="minorHAnsi" w:cstheme="minorHAnsi"/>
        </w:rPr>
        <w:t>.</w:t>
      </w:r>
    </w:p>
    <w:p w:rsidR="008A1DE3" w:rsidRDefault="008A1DE3" w:rsidP="008A1DE3">
      <w:pPr>
        <w:pStyle w:val="NormaleWeb"/>
        <w:spacing w:before="0" w:beforeAutospacing="0" w:after="0" w:afterAutospacing="0"/>
        <w:jc w:val="both"/>
        <w:rPr>
          <w:rFonts w:asciiTheme="minorHAnsi" w:hAnsiTheme="minorHAnsi" w:cstheme="minorHAnsi"/>
        </w:rPr>
      </w:pPr>
      <w:r w:rsidRPr="00CB5C69">
        <w:rPr>
          <w:rFonts w:asciiTheme="minorHAnsi" w:hAnsiTheme="minorHAnsi" w:cstheme="minorHAnsi"/>
        </w:rPr>
        <w:t>Il documento</w:t>
      </w:r>
      <w:r>
        <w:rPr>
          <w:rFonts w:asciiTheme="minorHAnsi" w:hAnsiTheme="minorHAnsi" w:cstheme="minorHAnsi"/>
        </w:rPr>
        <w:t xml:space="preserve"> provvisorio </w:t>
      </w:r>
      <w:r w:rsidRPr="00CB5C69">
        <w:rPr>
          <w:rFonts w:asciiTheme="minorHAnsi" w:hAnsiTheme="minorHAnsi" w:cstheme="minorHAnsi"/>
        </w:rPr>
        <w:t>cartaceo avrà validità temporanea non superiore a 6 mesi e dovrà essere obbligatoriamente riconsegnato agli sportelli comunali al momento del ritiro o della consegna della CIE definitiva</w:t>
      </w:r>
      <w:r>
        <w:rPr>
          <w:rFonts w:asciiTheme="minorHAnsi" w:hAnsiTheme="minorHAnsi" w:cstheme="minorHAnsi"/>
        </w:rPr>
        <w:t xml:space="preserve">. Tale documento </w:t>
      </w:r>
      <w:r w:rsidRPr="00FA32A5">
        <w:rPr>
          <w:rFonts w:asciiTheme="minorHAnsi" w:hAnsiTheme="minorHAnsi" w:cstheme="minorHAnsi"/>
        </w:rPr>
        <w:t>potrà essere erogato fino al 31 dicembre 2027 e sarà valido per l'espatrio</w:t>
      </w:r>
      <w:r>
        <w:rPr>
          <w:rFonts w:asciiTheme="minorHAnsi" w:hAnsiTheme="minorHAnsi" w:cstheme="minorHAnsi"/>
        </w:rPr>
        <w:t>.</w:t>
      </w:r>
      <w:r w:rsidRPr="00CB5C69">
        <w:rPr>
          <w:rFonts w:asciiTheme="minorHAnsi" w:hAnsiTheme="minorHAnsi" w:cstheme="minorHAnsi"/>
        </w:rPr>
        <w:br/>
      </w:r>
    </w:p>
    <w:p w:rsidR="008A1DE3" w:rsidRPr="008A1DE3" w:rsidRDefault="008A1DE3" w:rsidP="008A1DE3">
      <w:pPr>
        <w:pStyle w:val="NormaleWeb"/>
        <w:jc w:val="both"/>
        <w:rPr>
          <w:rFonts w:asciiTheme="minorHAnsi" w:hAnsiTheme="minorHAnsi" w:cstheme="minorHAnsi"/>
          <w:b/>
          <w:u w:val="single"/>
        </w:rPr>
      </w:pPr>
      <w:r>
        <w:rPr>
          <w:rFonts w:asciiTheme="minorHAnsi" w:hAnsiTheme="minorHAnsi" w:cstheme="minorHAnsi"/>
        </w:rPr>
        <w:t xml:space="preserve">Tuttavia, si specifica che il suddetto documento provvisorio </w:t>
      </w:r>
      <w:r w:rsidRPr="008A1DE3">
        <w:rPr>
          <w:rFonts w:asciiTheme="minorHAnsi" w:hAnsiTheme="minorHAnsi" w:cstheme="minorHAnsi"/>
          <w:b/>
          <w:u w:val="single"/>
        </w:rPr>
        <w:t>potrebbe non essere accettato da alcuni Stati esteri ai fini dell’ammissione nei propri territori.</w:t>
      </w:r>
    </w:p>
    <w:p w:rsidR="00AF50C3" w:rsidRPr="00AF50C3" w:rsidRDefault="00AF50C3" w:rsidP="00AF50C3">
      <w:pPr>
        <w:pStyle w:val="NormaleWeb"/>
        <w:jc w:val="both"/>
        <w:rPr>
          <w:rFonts w:asciiTheme="minorHAnsi" w:hAnsiTheme="minorHAnsi" w:cstheme="minorHAnsi"/>
          <w:u w:val="single"/>
        </w:rPr>
      </w:pPr>
      <w:r w:rsidRPr="00AF50C3">
        <w:rPr>
          <w:rFonts w:asciiTheme="minorHAnsi" w:hAnsiTheme="minorHAnsi" w:cstheme="minorHAnsi"/>
          <w:b/>
          <w:u w:val="single"/>
        </w:rPr>
        <w:t>SI RESTA IN ATTESA</w:t>
      </w:r>
      <w:r w:rsidRPr="00AF50C3">
        <w:rPr>
          <w:rFonts w:asciiTheme="minorHAnsi" w:hAnsiTheme="minorHAnsi" w:cstheme="minorHAnsi"/>
          <w:u w:val="single"/>
        </w:rPr>
        <w:t xml:space="preserve"> </w:t>
      </w:r>
      <w:r w:rsidRPr="00AF50C3">
        <w:rPr>
          <w:rFonts w:asciiTheme="minorHAnsi" w:hAnsiTheme="minorHAnsi" w:cstheme="minorHAnsi"/>
          <w:b/>
          <w:u w:val="single"/>
        </w:rPr>
        <w:t>DELLA CIRCOLARE MINISTERIALE PER AVERE INDICAZIONI OPERATIVE SU TEMPI E MODALITÀ DEL RILASCIO.</w:t>
      </w:r>
      <w:r w:rsidRPr="00AF50C3">
        <w:rPr>
          <w:rFonts w:asciiTheme="minorHAnsi" w:hAnsiTheme="minorHAnsi" w:cstheme="minorHAnsi"/>
          <w:u w:val="single"/>
        </w:rPr>
        <w:t> </w:t>
      </w:r>
    </w:p>
    <w:p w:rsidR="00FA32A5" w:rsidRPr="00FA32A5" w:rsidRDefault="00AF50C3" w:rsidP="00AF50C3">
      <w:pPr>
        <w:pStyle w:val="NormaleWeb"/>
        <w:rPr>
          <w:rFonts w:asciiTheme="minorHAnsi" w:hAnsiTheme="minorHAnsi" w:cstheme="minorHAnsi"/>
        </w:rPr>
      </w:pPr>
      <w:r>
        <w:rPr>
          <w:rFonts w:asciiTheme="minorHAnsi" w:hAnsiTheme="minorHAnsi" w:cstheme="minorHAnsi"/>
        </w:rPr>
        <w:lastRenderedPageBreak/>
        <w:t xml:space="preserve">Il testo integrale della Circolare del Ministero dell’interno è consultabile al seguente link </w:t>
      </w:r>
      <w:hyperlink r:id="rId5" w:history="1">
        <w:r w:rsidRPr="0099404F">
          <w:rPr>
            <w:rStyle w:val="Collegamentoipertestuale"/>
            <w:rFonts w:asciiTheme="minorHAnsi" w:hAnsiTheme="minorHAnsi" w:cstheme="minorHAnsi"/>
          </w:rPr>
          <w:t>https://dait.interno.gov.it/servizi-demografici/circolari/circolare-dait-n58-del-30-giugno-2026</w:t>
        </w:r>
      </w:hyperlink>
      <w:r>
        <w:rPr>
          <w:rFonts w:asciiTheme="minorHAnsi" w:hAnsiTheme="minorHAnsi" w:cstheme="minorHAnsi"/>
        </w:rPr>
        <w:tab/>
        <w:t xml:space="preserve"> </w:t>
      </w:r>
      <w:bookmarkEnd w:id="0"/>
    </w:p>
    <w:sectPr w:rsidR="00FA32A5" w:rsidRPr="00FA32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99C"/>
    <w:multiLevelType w:val="hybridMultilevel"/>
    <w:tmpl w:val="4F0A85A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4792C9D"/>
    <w:multiLevelType w:val="hybridMultilevel"/>
    <w:tmpl w:val="83D8925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62E1D64"/>
    <w:multiLevelType w:val="hybridMultilevel"/>
    <w:tmpl w:val="36086238"/>
    <w:lvl w:ilvl="0" w:tplc="A82A07A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A5"/>
    <w:rsid w:val="001F3512"/>
    <w:rsid w:val="002C3217"/>
    <w:rsid w:val="00424841"/>
    <w:rsid w:val="00437C91"/>
    <w:rsid w:val="008A1DE3"/>
    <w:rsid w:val="00AF50C3"/>
    <w:rsid w:val="00CB5C69"/>
    <w:rsid w:val="00FA3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E8F2"/>
  <w15:chartTrackingRefBased/>
  <w15:docId w15:val="{373DEAAC-2E8A-4C68-A413-792E9D08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FA32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32A5"/>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FA32A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A32A5"/>
    <w:rPr>
      <w:b/>
      <w:bCs/>
    </w:rPr>
  </w:style>
  <w:style w:type="character" w:styleId="Collegamentoipertestuale">
    <w:name w:val="Hyperlink"/>
    <w:basedOn w:val="Carpredefinitoparagrafo"/>
    <w:uiPriority w:val="99"/>
    <w:unhideWhenUsed/>
    <w:rsid w:val="00AF50C3"/>
    <w:rPr>
      <w:color w:val="0563C1" w:themeColor="hyperlink"/>
      <w:u w:val="single"/>
    </w:rPr>
  </w:style>
  <w:style w:type="character" w:styleId="Menzionenonrisolta">
    <w:name w:val="Unresolved Mention"/>
    <w:basedOn w:val="Carpredefinitoparagrafo"/>
    <w:uiPriority w:val="99"/>
    <w:semiHidden/>
    <w:unhideWhenUsed/>
    <w:rsid w:val="00AF5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79366">
      <w:bodyDiv w:val="1"/>
      <w:marLeft w:val="0"/>
      <w:marRight w:val="0"/>
      <w:marTop w:val="0"/>
      <w:marBottom w:val="0"/>
      <w:divBdr>
        <w:top w:val="none" w:sz="0" w:space="0" w:color="auto"/>
        <w:left w:val="none" w:sz="0" w:space="0" w:color="auto"/>
        <w:bottom w:val="none" w:sz="0" w:space="0" w:color="auto"/>
        <w:right w:val="none" w:sz="0" w:space="0" w:color="auto"/>
      </w:divBdr>
      <w:divsChild>
        <w:div w:id="1819305458">
          <w:marLeft w:val="0"/>
          <w:marRight w:val="0"/>
          <w:marTop w:val="0"/>
          <w:marBottom w:val="0"/>
          <w:divBdr>
            <w:top w:val="none" w:sz="0" w:space="0" w:color="auto"/>
            <w:left w:val="none" w:sz="0" w:space="0" w:color="auto"/>
            <w:bottom w:val="none" w:sz="0" w:space="0" w:color="auto"/>
            <w:right w:val="none" w:sz="0" w:space="0" w:color="auto"/>
          </w:divBdr>
          <w:divsChild>
            <w:div w:id="21063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t.interno.gov.it/servizi-demografici/circolari/circolare-dait-n58-del-30-giugno-202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1417</TotalTime>
  <Pages>2</Pages>
  <Words>388</Words>
  <Characters>2218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Comune di Capoterra</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Aresu</dc:creator>
  <cp:keywords/>
  <dc:description/>
  <cp:lastModifiedBy>Federica Aresu</cp:lastModifiedBy>
  <cp:revision>1</cp:revision>
  <dcterms:created xsi:type="dcterms:W3CDTF">2026-07-07T11:52:00Z</dcterms:created>
  <dcterms:modified xsi:type="dcterms:W3CDTF">2026-07-08T11:29:00Z</dcterms:modified>
</cp:coreProperties>
</file>